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E09" w:rsidRDefault="004C4E09">
      <w:pPr>
        <w:rPr>
          <w:b/>
          <w:bCs/>
          <w:u w:val="single"/>
        </w:rPr>
      </w:pPr>
      <w:r w:rsidRPr="00DF6A9F">
        <w:rPr>
          <w:b/>
          <w:bCs/>
          <w:u w:val="single"/>
        </w:rPr>
        <w:t>Indiana Watershed Leadership Academy Final Project</w:t>
      </w:r>
    </w:p>
    <w:p w:rsidR="004C4E09" w:rsidRPr="00D6736A" w:rsidRDefault="004C4E09">
      <w:pPr>
        <w:rPr>
          <w:sz w:val="36"/>
          <w:szCs w:val="36"/>
        </w:rPr>
      </w:pPr>
      <w:r w:rsidRPr="00D6736A">
        <w:rPr>
          <w:sz w:val="36"/>
          <w:szCs w:val="36"/>
        </w:rPr>
        <w:t xml:space="preserve">Project: </w:t>
      </w:r>
      <w:r>
        <w:rPr>
          <w:sz w:val="36"/>
          <w:szCs w:val="36"/>
        </w:rPr>
        <w:t>“</w:t>
      </w:r>
      <w:r w:rsidRPr="00D6736A">
        <w:rPr>
          <w:sz w:val="36"/>
          <w:szCs w:val="36"/>
        </w:rPr>
        <w:t>Non-point Source Septic Mitigation Tool Box</w:t>
      </w:r>
      <w:r>
        <w:rPr>
          <w:sz w:val="36"/>
          <w:szCs w:val="36"/>
        </w:rPr>
        <w:t>”</w:t>
      </w:r>
    </w:p>
    <w:p w:rsidR="004C4E09" w:rsidRDefault="004C4E09" w:rsidP="002D0A9E">
      <w:pPr>
        <w:spacing w:after="0"/>
      </w:pPr>
      <w:r>
        <w:t>Group Members:</w:t>
      </w:r>
    </w:p>
    <w:p w:rsidR="004C4E09" w:rsidRDefault="004C4E09" w:rsidP="002D0A9E">
      <w:pPr>
        <w:spacing w:after="0"/>
      </w:pPr>
      <w:r>
        <w:t>Nick Ellis</w:t>
      </w:r>
    </w:p>
    <w:p w:rsidR="004C4E09" w:rsidRDefault="004C4E09" w:rsidP="002D0A9E">
      <w:pPr>
        <w:spacing w:after="0"/>
      </w:pPr>
      <w:r>
        <w:t>Mike Novac</w:t>
      </w:r>
    </w:p>
    <w:p w:rsidR="004C4E09" w:rsidRDefault="004C4E09" w:rsidP="002D0A9E">
      <w:pPr>
        <w:spacing w:after="0"/>
      </w:pPr>
      <w:r>
        <w:t>Bryan Pohl</w:t>
      </w:r>
    </w:p>
    <w:p w:rsidR="002D0A9E" w:rsidRDefault="002D0A9E" w:rsidP="002D0A9E">
      <w:pPr>
        <w:spacing w:after="0"/>
      </w:pPr>
    </w:p>
    <w:p w:rsidR="004C4E09" w:rsidRPr="00D6736A" w:rsidRDefault="004C4E09" w:rsidP="005C4043">
      <w:pPr>
        <w:pStyle w:val="Title"/>
        <w:jc w:val="left"/>
        <w:rPr>
          <w:b w:val="0"/>
          <w:bCs w:val="0"/>
          <w:sz w:val="28"/>
          <w:szCs w:val="28"/>
        </w:rPr>
      </w:pPr>
      <w:r w:rsidRPr="00D6736A">
        <w:rPr>
          <w:b w:val="0"/>
          <w:bCs w:val="0"/>
          <w:sz w:val="28"/>
          <w:szCs w:val="28"/>
        </w:rPr>
        <w:t>Action plan for rural communitie</w:t>
      </w:r>
      <w:r w:rsidR="00B93E86">
        <w:rPr>
          <w:b w:val="0"/>
          <w:bCs w:val="0"/>
          <w:sz w:val="28"/>
          <w:szCs w:val="28"/>
        </w:rPr>
        <w:t xml:space="preserve">s wanting to address failing </w:t>
      </w:r>
      <w:proofErr w:type="spellStart"/>
      <w:r w:rsidR="00B93E86">
        <w:rPr>
          <w:b w:val="0"/>
          <w:bCs w:val="0"/>
          <w:sz w:val="28"/>
          <w:szCs w:val="28"/>
        </w:rPr>
        <w:t>sep</w:t>
      </w:r>
      <w:r w:rsidRPr="00D6736A">
        <w:rPr>
          <w:b w:val="0"/>
          <w:bCs w:val="0"/>
          <w:sz w:val="28"/>
          <w:szCs w:val="28"/>
        </w:rPr>
        <w:t>tics</w:t>
      </w:r>
      <w:proofErr w:type="spellEnd"/>
    </w:p>
    <w:p w:rsidR="004C4E09" w:rsidRPr="005C4043" w:rsidRDefault="004C4E09" w:rsidP="005C4043">
      <w:pPr>
        <w:numPr>
          <w:ilvl w:val="0"/>
          <w:numId w:val="3"/>
        </w:numPr>
      </w:pPr>
      <w:r w:rsidRPr="005C4043">
        <w:t>Recognize the problem</w:t>
      </w:r>
    </w:p>
    <w:p w:rsidR="004C4E09" w:rsidRPr="005C4043" w:rsidRDefault="004C4E09" w:rsidP="005C4043">
      <w:pPr>
        <w:numPr>
          <w:ilvl w:val="0"/>
          <w:numId w:val="3"/>
        </w:numPr>
      </w:pPr>
      <w:r w:rsidRPr="005C4043">
        <w:t>Educate yourself</w:t>
      </w:r>
    </w:p>
    <w:p w:rsidR="004C4E09" w:rsidRPr="005C4043" w:rsidRDefault="004C4E09" w:rsidP="005C4043">
      <w:pPr>
        <w:numPr>
          <w:ilvl w:val="0"/>
          <w:numId w:val="3"/>
        </w:numPr>
      </w:pPr>
      <w:r w:rsidRPr="005C4043">
        <w:t>Talk to your neighbors</w:t>
      </w:r>
    </w:p>
    <w:p w:rsidR="004C4E09" w:rsidRPr="005C4043" w:rsidRDefault="004C4E09" w:rsidP="005C4043">
      <w:pPr>
        <w:numPr>
          <w:ilvl w:val="0"/>
          <w:numId w:val="3"/>
        </w:numPr>
      </w:pPr>
      <w:r w:rsidRPr="005C4043">
        <w:t xml:space="preserve">Build consensus </w:t>
      </w:r>
    </w:p>
    <w:p w:rsidR="004C4E09" w:rsidRPr="005C4043" w:rsidRDefault="004C4E09" w:rsidP="005C4043">
      <w:pPr>
        <w:numPr>
          <w:ilvl w:val="0"/>
          <w:numId w:val="3"/>
        </w:numPr>
      </w:pPr>
      <w:r w:rsidRPr="005C4043">
        <w:t>Form a committee of residents to research options.</w:t>
      </w:r>
    </w:p>
    <w:p w:rsidR="004C4E09" w:rsidRPr="005C4043" w:rsidRDefault="004C4E09" w:rsidP="005C4043">
      <w:pPr>
        <w:numPr>
          <w:ilvl w:val="0"/>
          <w:numId w:val="3"/>
        </w:numPr>
      </w:pPr>
      <w:r w:rsidRPr="005C4043">
        <w:t>Use the Non-point Source Septic Mitigation Tool Box.</w:t>
      </w:r>
    </w:p>
    <w:p w:rsidR="004C4E09" w:rsidRPr="005C4043" w:rsidRDefault="004C4E09" w:rsidP="005C4043">
      <w:pPr>
        <w:numPr>
          <w:ilvl w:val="0"/>
          <w:numId w:val="3"/>
        </w:numPr>
      </w:pPr>
      <w:r w:rsidRPr="005C4043">
        <w:t>Talk to County Officials, Co. Commissioners</w:t>
      </w:r>
    </w:p>
    <w:p w:rsidR="004C4E09" w:rsidRDefault="004C4E09"/>
    <w:p w:rsidR="004C4E09" w:rsidRPr="00D6736A" w:rsidRDefault="004C4E09">
      <w:pPr>
        <w:rPr>
          <w:sz w:val="28"/>
          <w:szCs w:val="28"/>
          <w:u w:val="single"/>
        </w:rPr>
      </w:pPr>
      <w:r w:rsidRPr="00D6736A">
        <w:rPr>
          <w:sz w:val="28"/>
          <w:szCs w:val="28"/>
          <w:u w:val="single"/>
        </w:rPr>
        <w:t>Resources (Handouts):</w:t>
      </w:r>
    </w:p>
    <w:p w:rsidR="004C4E09" w:rsidRDefault="004C4E09" w:rsidP="00DF6A9F">
      <w:pPr>
        <w:pStyle w:val="Title"/>
        <w:numPr>
          <w:ilvl w:val="0"/>
          <w:numId w:val="1"/>
        </w:numPr>
        <w:jc w:val="left"/>
        <w:rPr>
          <w:rFonts w:cs="Times New Roman"/>
          <w:b w:val="0"/>
          <w:bCs w:val="0"/>
          <w:sz w:val="22"/>
          <w:szCs w:val="22"/>
          <w:u w:val="none"/>
        </w:rPr>
      </w:pPr>
      <w:r w:rsidRPr="00DF6A9F">
        <w:rPr>
          <w:b w:val="0"/>
          <w:bCs w:val="0"/>
          <w:sz w:val="22"/>
          <w:szCs w:val="22"/>
          <w:u w:val="none"/>
        </w:rPr>
        <w:t>Steps To Complete a Non-Point Source Community Wastewater Project</w:t>
      </w:r>
    </w:p>
    <w:p w:rsidR="004C4E09" w:rsidRDefault="004C4E09" w:rsidP="00DF6A9F">
      <w:pPr>
        <w:pStyle w:val="Title"/>
        <w:numPr>
          <w:ilvl w:val="0"/>
          <w:numId w:val="1"/>
        </w:numPr>
        <w:jc w:val="left"/>
        <w:rPr>
          <w:b w:val="0"/>
          <w:bCs w:val="0"/>
          <w:sz w:val="22"/>
          <w:szCs w:val="22"/>
          <w:u w:val="none"/>
        </w:rPr>
      </w:pPr>
      <w:r>
        <w:rPr>
          <w:b w:val="0"/>
          <w:bCs w:val="0"/>
          <w:sz w:val="22"/>
          <w:szCs w:val="22"/>
          <w:u w:val="none"/>
        </w:rPr>
        <w:t>Funding Sources for Community Infrastructure Programs</w:t>
      </w:r>
    </w:p>
    <w:p w:rsidR="004C4E09" w:rsidRDefault="004C4E09" w:rsidP="00DF6A9F">
      <w:pPr>
        <w:pStyle w:val="Title"/>
        <w:numPr>
          <w:ilvl w:val="0"/>
          <w:numId w:val="1"/>
        </w:numPr>
        <w:jc w:val="left"/>
        <w:rPr>
          <w:b w:val="0"/>
          <w:bCs w:val="0"/>
          <w:sz w:val="22"/>
          <w:szCs w:val="22"/>
          <w:u w:val="none"/>
        </w:rPr>
      </w:pPr>
      <w:r>
        <w:rPr>
          <w:b w:val="0"/>
          <w:bCs w:val="0"/>
          <w:sz w:val="22"/>
          <w:szCs w:val="22"/>
          <w:u w:val="none"/>
        </w:rPr>
        <w:t>“A Drop of Knowledge: Non-Operators Guide to Wastewater Systems”</w:t>
      </w:r>
    </w:p>
    <w:p w:rsidR="004C4E09" w:rsidRDefault="004C4E09" w:rsidP="00DF6A9F">
      <w:pPr>
        <w:pStyle w:val="Title"/>
        <w:numPr>
          <w:ilvl w:val="0"/>
          <w:numId w:val="1"/>
        </w:numPr>
        <w:jc w:val="left"/>
        <w:rPr>
          <w:b w:val="0"/>
          <w:bCs w:val="0"/>
          <w:sz w:val="22"/>
          <w:szCs w:val="22"/>
          <w:u w:val="none"/>
        </w:rPr>
      </w:pPr>
      <w:r>
        <w:rPr>
          <w:b w:val="0"/>
          <w:bCs w:val="0"/>
          <w:sz w:val="22"/>
          <w:szCs w:val="22"/>
          <w:u w:val="none"/>
        </w:rPr>
        <w:t>“A Guide to Developing Water and Wastewater Infrastructure”</w:t>
      </w:r>
    </w:p>
    <w:p w:rsidR="004C4E09" w:rsidRDefault="004C4E09" w:rsidP="00DF6A9F">
      <w:pPr>
        <w:pStyle w:val="Title"/>
        <w:numPr>
          <w:ilvl w:val="0"/>
          <w:numId w:val="1"/>
        </w:numPr>
        <w:jc w:val="left"/>
        <w:rPr>
          <w:b w:val="0"/>
          <w:bCs w:val="0"/>
          <w:sz w:val="22"/>
          <w:szCs w:val="22"/>
          <w:u w:val="none"/>
        </w:rPr>
      </w:pPr>
      <w:r>
        <w:rPr>
          <w:b w:val="0"/>
          <w:bCs w:val="0"/>
          <w:sz w:val="22"/>
          <w:szCs w:val="22"/>
          <w:u w:val="none"/>
        </w:rPr>
        <w:t xml:space="preserve">Non-Point Source database </w:t>
      </w:r>
    </w:p>
    <w:p w:rsidR="004C4E09" w:rsidRDefault="004C4E09" w:rsidP="00DF6A9F">
      <w:pPr>
        <w:pStyle w:val="Title"/>
        <w:numPr>
          <w:ilvl w:val="0"/>
          <w:numId w:val="1"/>
        </w:numPr>
        <w:jc w:val="left"/>
        <w:rPr>
          <w:b w:val="0"/>
          <w:bCs w:val="0"/>
          <w:sz w:val="22"/>
          <w:szCs w:val="22"/>
          <w:u w:val="none"/>
        </w:rPr>
      </w:pPr>
      <w:r>
        <w:rPr>
          <w:b w:val="0"/>
          <w:bCs w:val="0"/>
          <w:sz w:val="22"/>
          <w:szCs w:val="22"/>
          <w:u w:val="none"/>
        </w:rPr>
        <w:t>Indiana Regional Wastewater Districts/ Conservation District Overview</w:t>
      </w:r>
    </w:p>
    <w:p w:rsidR="004C4E09" w:rsidRDefault="004C4E09" w:rsidP="00B13151">
      <w:pPr>
        <w:pStyle w:val="Title"/>
        <w:numPr>
          <w:ilvl w:val="0"/>
          <w:numId w:val="1"/>
        </w:numPr>
        <w:jc w:val="left"/>
        <w:rPr>
          <w:b w:val="0"/>
          <w:bCs w:val="0"/>
          <w:sz w:val="22"/>
          <w:szCs w:val="22"/>
          <w:u w:val="none"/>
        </w:rPr>
      </w:pPr>
      <w:proofErr w:type="spellStart"/>
      <w:r>
        <w:rPr>
          <w:b w:val="0"/>
          <w:bCs w:val="0"/>
          <w:sz w:val="22"/>
          <w:szCs w:val="22"/>
          <w:u w:val="none"/>
        </w:rPr>
        <w:t>Unsewered</w:t>
      </w:r>
      <w:proofErr w:type="spellEnd"/>
      <w:r>
        <w:rPr>
          <w:b w:val="0"/>
          <w:bCs w:val="0"/>
          <w:sz w:val="22"/>
          <w:szCs w:val="22"/>
          <w:u w:val="none"/>
        </w:rPr>
        <w:t xml:space="preserve"> Community Survey</w:t>
      </w:r>
    </w:p>
    <w:p w:rsidR="004C4E09" w:rsidRDefault="004C4E09" w:rsidP="00B13151">
      <w:pPr>
        <w:pStyle w:val="Title"/>
        <w:numPr>
          <w:ilvl w:val="0"/>
          <w:numId w:val="1"/>
        </w:numPr>
        <w:jc w:val="left"/>
        <w:rPr>
          <w:b w:val="0"/>
          <w:bCs w:val="0"/>
          <w:sz w:val="22"/>
          <w:szCs w:val="22"/>
          <w:u w:val="none"/>
        </w:rPr>
      </w:pPr>
      <w:r>
        <w:rPr>
          <w:b w:val="0"/>
          <w:bCs w:val="0"/>
          <w:sz w:val="22"/>
          <w:szCs w:val="22"/>
          <w:u w:val="none"/>
        </w:rPr>
        <w:t>Indiana Regional Wastewater Districts/ Conservation District Overview</w:t>
      </w:r>
    </w:p>
    <w:p w:rsidR="004C4E09" w:rsidRDefault="004C4E09" w:rsidP="00B13151">
      <w:pPr>
        <w:pStyle w:val="Title"/>
        <w:numPr>
          <w:ilvl w:val="0"/>
          <w:numId w:val="1"/>
        </w:numPr>
        <w:jc w:val="left"/>
        <w:rPr>
          <w:b w:val="0"/>
          <w:bCs w:val="0"/>
          <w:sz w:val="22"/>
          <w:szCs w:val="22"/>
          <w:u w:val="none"/>
        </w:rPr>
      </w:pPr>
      <w:r>
        <w:rPr>
          <w:b w:val="0"/>
          <w:bCs w:val="0"/>
          <w:sz w:val="22"/>
          <w:szCs w:val="22"/>
          <w:u w:val="none"/>
        </w:rPr>
        <w:t>Formation of On-site Management Districts (Available on-line)</w:t>
      </w:r>
    </w:p>
    <w:p w:rsidR="004C4E09" w:rsidRDefault="004C4E09" w:rsidP="00B13151">
      <w:pPr>
        <w:pStyle w:val="Title"/>
        <w:numPr>
          <w:ilvl w:val="0"/>
          <w:numId w:val="1"/>
        </w:numPr>
        <w:jc w:val="left"/>
        <w:rPr>
          <w:b w:val="0"/>
          <w:bCs w:val="0"/>
          <w:sz w:val="22"/>
          <w:szCs w:val="22"/>
          <w:u w:val="none"/>
        </w:rPr>
      </w:pPr>
      <w:proofErr w:type="spellStart"/>
      <w:r>
        <w:rPr>
          <w:b w:val="0"/>
          <w:bCs w:val="0"/>
          <w:sz w:val="22"/>
          <w:szCs w:val="22"/>
          <w:u w:val="none"/>
        </w:rPr>
        <w:t>Interlocal</w:t>
      </w:r>
      <w:proofErr w:type="spellEnd"/>
      <w:r>
        <w:rPr>
          <w:b w:val="0"/>
          <w:bCs w:val="0"/>
          <w:sz w:val="22"/>
          <w:szCs w:val="22"/>
          <w:u w:val="none"/>
        </w:rPr>
        <w:t xml:space="preserve"> Agreement Manual (Available on-line)</w:t>
      </w:r>
    </w:p>
    <w:p w:rsidR="004C4E09" w:rsidRDefault="004C4E09" w:rsidP="002820EC">
      <w:pPr>
        <w:pStyle w:val="Title"/>
        <w:jc w:val="left"/>
        <w:rPr>
          <w:rFonts w:cs="Times New Roman"/>
          <w:b w:val="0"/>
          <w:bCs w:val="0"/>
          <w:sz w:val="22"/>
          <w:szCs w:val="22"/>
          <w:u w:val="none"/>
        </w:rPr>
      </w:pPr>
    </w:p>
    <w:p w:rsidR="004C4E09" w:rsidRDefault="004C4E09" w:rsidP="002820EC">
      <w:pPr>
        <w:pStyle w:val="Title"/>
        <w:jc w:val="left"/>
        <w:rPr>
          <w:rFonts w:cs="Times New Roman"/>
          <w:b w:val="0"/>
          <w:bCs w:val="0"/>
          <w:sz w:val="22"/>
          <w:szCs w:val="22"/>
          <w:u w:val="none"/>
        </w:rPr>
      </w:pPr>
    </w:p>
    <w:p w:rsidR="004C4E09" w:rsidRDefault="004C4E09" w:rsidP="002820EC">
      <w:pPr>
        <w:pStyle w:val="Title"/>
        <w:jc w:val="left"/>
        <w:rPr>
          <w:rFonts w:cs="Times New Roman"/>
          <w:b w:val="0"/>
          <w:bCs w:val="0"/>
          <w:sz w:val="22"/>
          <w:szCs w:val="22"/>
          <w:u w:val="none"/>
        </w:rPr>
      </w:pPr>
    </w:p>
    <w:p w:rsidR="004C4E09" w:rsidRDefault="004C4E09" w:rsidP="002820EC">
      <w:pPr>
        <w:pStyle w:val="Title"/>
        <w:jc w:val="left"/>
        <w:rPr>
          <w:rFonts w:cs="Times New Roman"/>
          <w:b w:val="0"/>
          <w:bCs w:val="0"/>
          <w:sz w:val="22"/>
          <w:szCs w:val="22"/>
          <w:u w:val="none"/>
        </w:rPr>
      </w:pPr>
    </w:p>
    <w:p w:rsidR="004C4E09" w:rsidRDefault="004C4E09" w:rsidP="008676CB">
      <w:pPr>
        <w:rPr>
          <w:rFonts w:ascii="Verdana" w:hAnsi="Verdana" w:cs="Verdana"/>
          <w:sz w:val="28"/>
          <w:szCs w:val="28"/>
          <w:u w:val="single"/>
        </w:rPr>
      </w:pPr>
    </w:p>
    <w:p w:rsidR="004C4E09" w:rsidRDefault="004C4E09" w:rsidP="008676CB">
      <w:pPr>
        <w:rPr>
          <w:rFonts w:ascii="Verdana" w:hAnsi="Verdana" w:cs="Verdana"/>
          <w:sz w:val="28"/>
          <w:szCs w:val="28"/>
          <w:u w:val="single"/>
        </w:rPr>
      </w:pPr>
    </w:p>
    <w:p w:rsidR="002D0A9E" w:rsidRDefault="002D0A9E" w:rsidP="008676CB">
      <w:pPr>
        <w:rPr>
          <w:rFonts w:ascii="Verdana" w:hAnsi="Verdana" w:cs="Verdana"/>
          <w:sz w:val="28"/>
          <w:szCs w:val="28"/>
          <w:u w:val="single"/>
        </w:rPr>
      </w:pPr>
    </w:p>
    <w:p w:rsidR="004C4E09" w:rsidRPr="00D6736A" w:rsidRDefault="004C4E09" w:rsidP="008676CB">
      <w:pPr>
        <w:rPr>
          <w:rFonts w:ascii="Verdana" w:hAnsi="Verdana" w:cs="Verdana"/>
          <w:sz w:val="28"/>
          <w:szCs w:val="28"/>
          <w:u w:val="single"/>
        </w:rPr>
      </w:pPr>
      <w:r>
        <w:rPr>
          <w:rFonts w:ascii="Verdana" w:hAnsi="Verdana" w:cs="Verdana"/>
          <w:sz w:val="28"/>
          <w:szCs w:val="28"/>
          <w:u w:val="single"/>
        </w:rPr>
        <w:t xml:space="preserve">Helpful </w:t>
      </w:r>
      <w:r w:rsidRPr="00D6736A">
        <w:rPr>
          <w:rFonts w:ascii="Verdana" w:hAnsi="Verdana" w:cs="Verdana"/>
          <w:sz w:val="28"/>
          <w:szCs w:val="28"/>
          <w:u w:val="single"/>
        </w:rPr>
        <w:t>Links:</w:t>
      </w:r>
      <w:bookmarkStart w:id="0" w:name="_GoBack"/>
      <w:bookmarkEnd w:id="0"/>
    </w:p>
    <w:p w:rsidR="004C4E09" w:rsidRDefault="004C4E09" w:rsidP="00B93E86">
      <w:pPr>
        <w:pStyle w:val="ListParagraph"/>
        <w:numPr>
          <w:ilvl w:val="0"/>
          <w:numId w:val="2"/>
        </w:numPr>
        <w:ind w:left="360"/>
        <w:rPr>
          <w:rStyle w:val="dkgreensmallern"/>
          <w:rFonts w:ascii="Verdana" w:hAnsi="Verdana" w:cs="Verdana"/>
          <w:sz w:val="24"/>
          <w:szCs w:val="24"/>
        </w:rPr>
      </w:pPr>
      <w:r w:rsidRPr="006175CD">
        <w:rPr>
          <w:rStyle w:val="dkgreensmallern"/>
          <w:rFonts w:ascii="Verdana" w:hAnsi="Verdana" w:cs="Verdana"/>
          <w:sz w:val="24"/>
          <w:szCs w:val="24"/>
        </w:rPr>
        <w:t xml:space="preserve">Indiana Regional Sewer District Association </w:t>
      </w:r>
    </w:p>
    <w:p w:rsidR="004C4E09" w:rsidRPr="006175CD" w:rsidRDefault="00037ABF" w:rsidP="00B93E86">
      <w:pPr>
        <w:pStyle w:val="ListParagraph"/>
        <w:ind w:left="360" w:hanging="360"/>
        <w:rPr>
          <w:rFonts w:ascii="Verdana" w:hAnsi="Verdana" w:cs="Verdana"/>
          <w:sz w:val="24"/>
          <w:szCs w:val="24"/>
        </w:rPr>
      </w:pPr>
      <w:hyperlink r:id="rId5" w:history="1">
        <w:r w:rsidR="004C4E09" w:rsidRPr="006175CD">
          <w:rPr>
            <w:rStyle w:val="Hyperlink"/>
            <w:rFonts w:ascii="Verdana" w:hAnsi="Verdana" w:cs="Verdana"/>
            <w:sz w:val="24"/>
            <w:szCs w:val="24"/>
          </w:rPr>
          <w:t>http://irsda.org/</w:t>
        </w:r>
      </w:hyperlink>
      <w:r w:rsidR="004C4E09" w:rsidRPr="006175CD">
        <w:rPr>
          <w:rFonts w:ascii="Verdana" w:hAnsi="Verdana" w:cs="Verdana"/>
          <w:sz w:val="24"/>
          <w:szCs w:val="24"/>
        </w:rPr>
        <w:t xml:space="preserve"> or http://irsda.org/links.php</w:t>
      </w:r>
    </w:p>
    <w:p w:rsidR="004C4E09" w:rsidRPr="00CF49AC" w:rsidRDefault="004C4E09" w:rsidP="00CF49AC">
      <w:pPr>
        <w:pStyle w:val="Pa0"/>
        <w:rPr>
          <w:rFonts w:ascii="Verdana" w:hAnsi="Verdana" w:cs="Verdana"/>
          <w:color w:val="000000"/>
        </w:rPr>
      </w:pPr>
      <w:r>
        <w:rPr>
          <w:rFonts w:ascii="Verdana" w:hAnsi="Verdana" w:cs="Verdana"/>
        </w:rPr>
        <w:t>IRSDA is a t</w:t>
      </w:r>
      <w:r w:rsidRPr="006175CD">
        <w:rPr>
          <w:rFonts w:ascii="Verdana" w:hAnsi="Verdana" w:cs="Verdana"/>
        </w:rPr>
        <w:t>errific resource listing different State Agencies and Organizations dealing with waste water.</w:t>
      </w:r>
      <w:r>
        <w:rPr>
          <w:rFonts w:ascii="Verdana" w:hAnsi="Verdana" w:cs="Verdana"/>
        </w:rPr>
        <w:t xml:space="preserve"> </w:t>
      </w:r>
      <w:r w:rsidRPr="00CF49AC">
        <w:rPr>
          <w:rStyle w:val="A10"/>
          <w:rFonts w:ascii="Verdana" w:hAnsi="Verdana" w:cs="Verdana"/>
          <w:sz w:val="24"/>
          <w:szCs w:val="24"/>
        </w:rPr>
        <w:t xml:space="preserve">The Indiana Regional Sewer District’s Association (IRSDA) was formed to help address the unique issues faced by regional sewer and water districts. Our mission is to be supportive and share information that is critical and focused on the role of regional districts in protecting the environment and public health while also supporting economic development and providing a public convenience. </w:t>
      </w:r>
    </w:p>
    <w:p w:rsidR="004C4E09" w:rsidRPr="006175CD" w:rsidRDefault="004C4E09" w:rsidP="00AE77CA">
      <w:pPr>
        <w:pStyle w:val="ListParagraph"/>
        <w:ind w:left="360"/>
        <w:rPr>
          <w:rFonts w:ascii="Verdana" w:hAnsi="Verdana" w:cs="Verdana"/>
          <w:sz w:val="24"/>
          <w:szCs w:val="24"/>
        </w:rPr>
      </w:pPr>
    </w:p>
    <w:p w:rsidR="004C4E09" w:rsidRPr="006175CD" w:rsidRDefault="004C4E09" w:rsidP="00B93E86">
      <w:pPr>
        <w:pStyle w:val="ListParagraph"/>
        <w:numPr>
          <w:ilvl w:val="0"/>
          <w:numId w:val="2"/>
        </w:numPr>
        <w:tabs>
          <w:tab w:val="left" w:pos="360"/>
        </w:tabs>
        <w:ind w:left="0" w:firstLine="0"/>
        <w:rPr>
          <w:rFonts w:ascii="Verdana" w:hAnsi="Verdana" w:cs="Verdana"/>
          <w:sz w:val="24"/>
          <w:szCs w:val="24"/>
        </w:rPr>
      </w:pPr>
      <w:r w:rsidRPr="006175CD">
        <w:rPr>
          <w:rFonts w:ascii="Verdana" w:hAnsi="Verdana" w:cs="Verdana"/>
          <w:sz w:val="24"/>
          <w:szCs w:val="24"/>
        </w:rPr>
        <w:t xml:space="preserve">Citizens Water, Septic Tank Elimination Program, -how to get on sewers, financing, steps to take to get to construction. </w:t>
      </w:r>
    </w:p>
    <w:p w:rsidR="004C4E09" w:rsidRPr="006175CD" w:rsidRDefault="00037ABF" w:rsidP="00B93E86">
      <w:pPr>
        <w:pStyle w:val="ListParagraph"/>
        <w:tabs>
          <w:tab w:val="left" w:pos="0"/>
        </w:tabs>
        <w:ind w:left="360" w:hanging="360"/>
        <w:rPr>
          <w:rFonts w:ascii="Verdana" w:hAnsi="Verdana" w:cs="Verdana"/>
          <w:sz w:val="24"/>
          <w:szCs w:val="24"/>
        </w:rPr>
      </w:pPr>
      <w:hyperlink r:id="rId6" w:history="1">
        <w:r w:rsidR="004C4E09" w:rsidRPr="006175CD">
          <w:rPr>
            <w:rStyle w:val="Hyperlink"/>
            <w:rFonts w:ascii="Verdana" w:hAnsi="Verdana" w:cs="Verdana"/>
            <w:sz w:val="24"/>
            <w:szCs w:val="24"/>
          </w:rPr>
          <w:t>http://citizenswater.com/Wastewater/STEP.aspx</w:t>
        </w:r>
      </w:hyperlink>
    </w:p>
    <w:p w:rsidR="004C4E09" w:rsidRPr="006175CD" w:rsidRDefault="004C4E09" w:rsidP="00B93E86">
      <w:pPr>
        <w:pStyle w:val="ListParagraph"/>
        <w:ind w:left="0"/>
        <w:rPr>
          <w:rFonts w:ascii="Verdana" w:hAnsi="Verdana" w:cs="Verdana"/>
          <w:sz w:val="24"/>
          <w:szCs w:val="24"/>
        </w:rPr>
      </w:pPr>
      <w:r w:rsidRPr="006175CD">
        <w:rPr>
          <w:rFonts w:ascii="Verdana" w:hAnsi="Verdana" w:cs="Verdana"/>
          <w:sz w:val="24"/>
          <w:szCs w:val="24"/>
        </w:rPr>
        <w:t>To address health hazards in our neighborhoods, the Septic Tank Elimination Program (STEP) was implemented to convert many neighborhoods on septic systems to the sanitary sewer system. STEP plans include bringing sewers to approximately 7,000 homes by 2013. This will address more than 25 percent of the 25,000 homes still on septic systems in Indianapolis. Neighborhoods with higher septic system failure rates are the priority of STEP.</w:t>
      </w:r>
    </w:p>
    <w:p w:rsidR="004C4E09" w:rsidRPr="006175CD" w:rsidRDefault="004C4E09" w:rsidP="004D60A4">
      <w:pPr>
        <w:pStyle w:val="ListParagraph"/>
        <w:ind w:left="360"/>
        <w:rPr>
          <w:rFonts w:ascii="Verdana" w:hAnsi="Verdana" w:cs="Verdana"/>
          <w:sz w:val="24"/>
          <w:szCs w:val="24"/>
        </w:rPr>
      </w:pPr>
    </w:p>
    <w:p w:rsidR="00B93E86" w:rsidRDefault="004C4E09" w:rsidP="00B93E86">
      <w:pPr>
        <w:pStyle w:val="ListParagraph"/>
        <w:numPr>
          <w:ilvl w:val="0"/>
          <w:numId w:val="2"/>
        </w:numPr>
        <w:ind w:left="360"/>
        <w:rPr>
          <w:rFonts w:ascii="Verdana" w:hAnsi="Verdana" w:cs="Verdana"/>
          <w:sz w:val="24"/>
          <w:szCs w:val="24"/>
        </w:rPr>
      </w:pPr>
      <w:r w:rsidRPr="006175CD">
        <w:rPr>
          <w:rFonts w:ascii="Verdana" w:hAnsi="Verdana" w:cs="Verdana"/>
          <w:sz w:val="24"/>
          <w:szCs w:val="24"/>
        </w:rPr>
        <w:t>Indiana Association of Soil &amp; Water Conservation Districts</w:t>
      </w:r>
    </w:p>
    <w:p w:rsidR="004C4E09" w:rsidRPr="006175CD" w:rsidRDefault="00037ABF" w:rsidP="00B93E86">
      <w:pPr>
        <w:pStyle w:val="ListParagraph"/>
        <w:ind w:left="0"/>
        <w:rPr>
          <w:rFonts w:ascii="Verdana" w:hAnsi="Verdana" w:cs="Verdana"/>
          <w:sz w:val="24"/>
          <w:szCs w:val="24"/>
        </w:rPr>
      </w:pPr>
      <w:hyperlink r:id="rId7" w:history="1">
        <w:r w:rsidR="004C4E09" w:rsidRPr="006175CD">
          <w:rPr>
            <w:rStyle w:val="Hyperlink"/>
            <w:rFonts w:ascii="Verdana" w:hAnsi="Verdana" w:cs="Verdana"/>
            <w:sz w:val="24"/>
            <w:szCs w:val="24"/>
          </w:rPr>
          <w:t>http://www.iaswcd.org/</w:t>
        </w:r>
      </w:hyperlink>
    </w:p>
    <w:p w:rsidR="004C4E09" w:rsidRPr="006175CD" w:rsidRDefault="004C4E09" w:rsidP="004D60A4">
      <w:pPr>
        <w:pStyle w:val="ListParagraph"/>
        <w:ind w:left="360"/>
        <w:rPr>
          <w:rFonts w:ascii="Verdana" w:hAnsi="Verdana" w:cs="Verdana"/>
          <w:sz w:val="24"/>
          <w:szCs w:val="24"/>
        </w:rPr>
      </w:pPr>
    </w:p>
    <w:p w:rsidR="004C4E09" w:rsidRPr="006175CD" w:rsidRDefault="004C4E09" w:rsidP="00B93E86">
      <w:pPr>
        <w:numPr>
          <w:ilvl w:val="0"/>
          <w:numId w:val="2"/>
        </w:numPr>
        <w:spacing w:after="0"/>
        <w:ind w:left="360"/>
        <w:rPr>
          <w:rFonts w:ascii="Verdana" w:hAnsi="Verdana" w:cs="Verdana"/>
          <w:sz w:val="24"/>
          <w:szCs w:val="24"/>
        </w:rPr>
      </w:pPr>
      <w:r w:rsidRPr="006175CD">
        <w:rPr>
          <w:rFonts w:ascii="Verdana" w:hAnsi="Verdana" w:cs="Verdana"/>
          <w:sz w:val="24"/>
          <w:szCs w:val="24"/>
        </w:rPr>
        <w:t xml:space="preserve">“The High Price of Ignorance” Small Flows Quarterly, Summer 2005, </w:t>
      </w:r>
    </w:p>
    <w:p w:rsidR="004C4E09" w:rsidRDefault="004C4E09" w:rsidP="00B93E86">
      <w:pPr>
        <w:rPr>
          <w:rFonts w:ascii="Verdana" w:hAnsi="Verdana" w:cs="Verdana"/>
          <w:sz w:val="24"/>
          <w:szCs w:val="24"/>
        </w:rPr>
      </w:pPr>
      <w:proofErr w:type="gramStart"/>
      <w:r w:rsidRPr="006175CD">
        <w:rPr>
          <w:rFonts w:ascii="Verdana" w:hAnsi="Verdana" w:cs="Verdana"/>
          <w:sz w:val="24"/>
          <w:szCs w:val="24"/>
        </w:rPr>
        <w:t>Vol. 6, No. 3, p27-30.</w:t>
      </w:r>
      <w:proofErr w:type="gramEnd"/>
      <w:r w:rsidRPr="006175CD">
        <w:rPr>
          <w:rFonts w:ascii="Verdana" w:hAnsi="Verdana" w:cs="Verdana"/>
          <w:sz w:val="24"/>
          <w:szCs w:val="24"/>
        </w:rPr>
        <w:t xml:space="preserve"> </w:t>
      </w:r>
      <w:hyperlink r:id="rId8" w:history="1">
        <w:r w:rsidR="00B93E86" w:rsidRPr="001F47D6">
          <w:rPr>
            <w:rStyle w:val="Hyperlink"/>
            <w:rFonts w:ascii="Verdana" w:hAnsi="Verdana" w:cs="Verdana"/>
            <w:sz w:val="24"/>
            <w:szCs w:val="24"/>
          </w:rPr>
          <w:t>http://www.miamicountyhealth.net/EH/documents/OPProgram/Pubs/Ignorance_SFQ_s05.pdf</w:t>
        </w:r>
      </w:hyperlink>
      <w:r>
        <w:rPr>
          <w:rFonts w:ascii="Verdana" w:hAnsi="Verdana" w:cs="Verdana"/>
          <w:sz w:val="24"/>
          <w:szCs w:val="24"/>
        </w:rPr>
        <w:t xml:space="preserve"> </w:t>
      </w:r>
    </w:p>
    <w:p w:rsidR="004C4E09" w:rsidRPr="006175CD" w:rsidRDefault="004C4E09" w:rsidP="00B93E86">
      <w:pPr>
        <w:rPr>
          <w:rFonts w:ascii="Verdana" w:hAnsi="Verdana" w:cs="Verdana"/>
          <w:sz w:val="24"/>
          <w:szCs w:val="24"/>
        </w:rPr>
      </w:pPr>
      <w:r w:rsidRPr="000441D4">
        <w:rPr>
          <w:rFonts w:ascii="Verdana" w:hAnsi="Verdana" w:cs="Verdana"/>
          <w:sz w:val="24"/>
          <w:szCs w:val="24"/>
        </w:rPr>
        <w:t xml:space="preserve">Many Indiana communities think they have only two options for solving their wastewater problems: building sewers or doing nothing. The first option could mean soaring capital costs and user rates, while the second option could mean polluting the environment and risking public health. This article </w:t>
      </w:r>
      <w:r w:rsidRPr="000441D4">
        <w:rPr>
          <w:rFonts w:ascii="Verdana" w:hAnsi="Verdana" w:cs="Verdana"/>
          <w:sz w:val="24"/>
          <w:szCs w:val="24"/>
        </w:rPr>
        <w:lastRenderedPageBreak/>
        <w:t>explores the demographics and needs of rural communities and the challenges they face in obtaining waste water treatment.</w:t>
      </w:r>
    </w:p>
    <w:p w:rsidR="004C4E09" w:rsidRPr="006175CD" w:rsidRDefault="004C4E09" w:rsidP="00A06497">
      <w:pPr>
        <w:rPr>
          <w:rFonts w:ascii="Verdana" w:hAnsi="Verdana" w:cs="Verdana"/>
          <w:sz w:val="24"/>
          <w:szCs w:val="24"/>
        </w:rPr>
      </w:pPr>
    </w:p>
    <w:p w:rsidR="004C4E09" w:rsidRPr="006175CD" w:rsidRDefault="004C4E09" w:rsidP="000E4750">
      <w:pPr>
        <w:autoSpaceDE w:val="0"/>
        <w:autoSpaceDN w:val="0"/>
        <w:adjustRightInd w:val="0"/>
        <w:spacing w:after="0" w:line="240" w:lineRule="auto"/>
        <w:rPr>
          <w:rFonts w:ascii="Verdana" w:hAnsi="Verdana" w:cs="Verdana"/>
          <w:sz w:val="24"/>
          <w:szCs w:val="24"/>
        </w:rPr>
      </w:pPr>
      <w:r>
        <w:rPr>
          <w:rFonts w:ascii="Verdana" w:hAnsi="Verdana" w:cs="Verdana"/>
          <w:sz w:val="24"/>
          <w:szCs w:val="24"/>
        </w:rPr>
        <w:t>5</w:t>
      </w:r>
      <w:r w:rsidRPr="006175CD">
        <w:rPr>
          <w:rFonts w:ascii="Verdana" w:hAnsi="Verdana" w:cs="Verdana"/>
          <w:sz w:val="24"/>
          <w:szCs w:val="24"/>
        </w:rPr>
        <w:t>. Small Community Wastewater Cluster Systems</w:t>
      </w:r>
      <w:hyperlink r:id="rId9" w:history="1">
        <w:r w:rsidRPr="006175CD">
          <w:rPr>
            <w:rStyle w:val="Hyperlink"/>
            <w:rFonts w:ascii="Verdana" w:hAnsi="Verdana" w:cs="Verdana"/>
            <w:sz w:val="24"/>
            <w:szCs w:val="24"/>
          </w:rPr>
          <w:t>http://www.extension.purdue.edu/extmedia/ID/ID-265.pdf</w:t>
        </w:r>
      </w:hyperlink>
    </w:p>
    <w:p w:rsidR="004C4E09" w:rsidRPr="000441D4" w:rsidRDefault="004C4E09" w:rsidP="000441D4">
      <w:pPr>
        <w:rPr>
          <w:rFonts w:ascii="Verdana" w:hAnsi="Verdana" w:cs="Verdana"/>
          <w:i/>
          <w:iCs/>
          <w:sz w:val="24"/>
          <w:szCs w:val="24"/>
        </w:rPr>
      </w:pPr>
      <w:r w:rsidRPr="000441D4">
        <w:rPr>
          <w:rFonts w:ascii="Verdana" w:hAnsi="Verdana" w:cs="Verdana"/>
          <w:i/>
          <w:iCs/>
          <w:sz w:val="24"/>
          <w:szCs w:val="24"/>
        </w:rPr>
        <w:t>In areas served by municipal wastewater facilities, sewage is transported away from homes in large diameter gravity sewers to a central plant where it is treated and discharged into a waterway. Outside of these areas, most individual residences must rely on a septic tank and soil absorption field, or on-site system, to dispose of their wastewater. Cluster systems bridge the gap between these two systems in small communities where neither of the first two systems is feasible.</w:t>
      </w:r>
    </w:p>
    <w:p w:rsidR="004C4E09" w:rsidRPr="006175CD" w:rsidRDefault="004C4E09" w:rsidP="00A06497">
      <w:pPr>
        <w:rPr>
          <w:rFonts w:ascii="Verdana" w:hAnsi="Verdana" w:cs="Verdana"/>
          <w:sz w:val="24"/>
          <w:szCs w:val="24"/>
        </w:rPr>
      </w:pPr>
    </w:p>
    <w:p w:rsidR="004C4E09" w:rsidRPr="006175CD" w:rsidRDefault="004C4E09" w:rsidP="00A06497">
      <w:pPr>
        <w:pStyle w:val="Heading3"/>
        <w:rPr>
          <w:rFonts w:ascii="Verdana" w:hAnsi="Verdana" w:cs="Verdana"/>
          <w:sz w:val="24"/>
          <w:szCs w:val="24"/>
        </w:rPr>
      </w:pPr>
      <w:r>
        <w:rPr>
          <w:rFonts w:ascii="Verdana" w:hAnsi="Verdana" w:cs="Verdana"/>
          <w:b w:val="0"/>
          <w:bCs w:val="0"/>
          <w:sz w:val="24"/>
          <w:szCs w:val="24"/>
        </w:rPr>
        <w:t>6</w:t>
      </w:r>
      <w:r w:rsidRPr="006175CD">
        <w:rPr>
          <w:rFonts w:ascii="Verdana" w:hAnsi="Verdana" w:cs="Verdana"/>
          <w:b w:val="0"/>
          <w:bCs w:val="0"/>
          <w:sz w:val="24"/>
          <w:szCs w:val="24"/>
        </w:rPr>
        <w:t xml:space="preserve">. </w:t>
      </w:r>
      <w:hyperlink r:id="rId10" w:history="1">
        <w:r w:rsidRPr="006175CD">
          <w:rPr>
            <w:rStyle w:val="Hyperlink"/>
            <w:rFonts w:ascii="Verdana" w:hAnsi="Verdana" w:cs="Verdana"/>
            <w:b w:val="0"/>
            <w:bCs w:val="0"/>
            <w:sz w:val="24"/>
            <w:szCs w:val="24"/>
          </w:rPr>
          <w:t>Purdue Residential Onsite Wastewater Disposal</w:t>
        </w:r>
      </w:hyperlink>
    </w:p>
    <w:p w:rsidR="004C4E09" w:rsidRPr="006175CD" w:rsidRDefault="00037ABF" w:rsidP="00A06497">
      <w:pPr>
        <w:rPr>
          <w:rFonts w:ascii="Verdana" w:hAnsi="Verdana" w:cs="Verdana"/>
          <w:sz w:val="24"/>
          <w:szCs w:val="24"/>
        </w:rPr>
      </w:pPr>
      <w:hyperlink r:id="rId11" w:history="1">
        <w:r w:rsidR="004C4E09" w:rsidRPr="006175CD">
          <w:rPr>
            <w:rStyle w:val="Hyperlink"/>
            <w:rFonts w:ascii="Verdana" w:hAnsi="Verdana" w:cs="Verdana"/>
            <w:sz w:val="24"/>
            <w:szCs w:val="24"/>
          </w:rPr>
          <w:t>https://engineering.purdue.edu/~frankenb/NU-prowd/community.htm</w:t>
        </w:r>
      </w:hyperlink>
    </w:p>
    <w:p w:rsidR="004C4E09" w:rsidRPr="006175CD" w:rsidRDefault="004C4E09" w:rsidP="00A06497">
      <w:pPr>
        <w:rPr>
          <w:rFonts w:ascii="Verdana" w:hAnsi="Verdana" w:cs="Verdana"/>
          <w:sz w:val="24"/>
          <w:szCs w:val="24"/>
        </w:rPr>
      </w:pPr>
      <w:proofErr w:type="gramStart"/>
      <w:r w:rsidRPr="006175CD">
        <w:rPr>
          <w:rFonts w:ascii="Verdana" w:hAnsi="Verdana" w:cs="Verdana"/>
          <w:sz w:val="24"/>
          <w:szCs w:val="24"/>
        </w:rPr>
        <w:t>Talks about three different options when choosing a waste water disposal system for rural communities.</w:t>
      </w:r>
      <w:proofErr w:type="gramEnd"/>
    </w:p>
    <w:p w:rsidR="004C4E09" w:rsidRPr="006175CD" w:rsidRDefault="004C4E09" w:rsidP="00A06497">
      <w:pPr>
        <w:rPr>
          <w:rFonts w:ascii="Verdana" w:hAnsi="Verdana" w:cs="Verdana"/>
          <w:sz w:val="24"/>
          <w:szCs w:val="24"/>
        </w:rPr>
      </w:pPr>
    </w:p>
    <w:p w:rsidR="004C4E09" w:rsidRPr="006175CD" w:rsidRDefault="004C4E09" w:rsidP="00B93E86">
      <w:pPr>
        <w:numPr>
          <w:ilvl w:val="0"/>
          <w:numId w:val="5"/>
        </w:numPr>
        <w:tabs>
          <w:tab w:val="clear" w:pos="720"/>
          <w:tab w:val="num" w:pos="0"/>
        </w:tabs>
        <w:ind w:left="360"/>
        <w:rPr>
          <w:rFonts w:ascii="Verdana" w:hAnsi="Verdana" w:cs="Verdana"/>
          <w:sz w:val="24"/>
          <w:szCs w:val="24"/>
        </w:rPr>
      </w:pPr>
      <w:r w:rsidRPr="006175CD">
        <w:rPr>
          <w:rFonts w:ascii="Verdana" w:hAnsi="Verdana" w:cs="Verdana"/>
          <w:sz w:val="24"/>
          <w:szCs w:val="24"/>
        </w:rPr>
        <w:t>Indiana Small Utilities Tool Kit</w:t>
      </w:r>
    </w:p>
    <w:p w:rsidR="004C4E09" w:rsidRPr="006175CD" w:rsidRDefault="00037ABF" w:rsidP="00B93E86">
      <w:pPr>
        <w:ind w:left="360" w:hanging="360"/>
        <w:rPr>
          <w:rFonts w:ascii="Verdana" w:hAnsi="Verdana" w:cs="Verdana"/>
          <w:sz w:val="24"/>
          <w:szCs w:val="24"/>
        </w:rPr>
      </w:pPr>
      <w:hyperlink r:id="rId12" w:history="1">
        <w:r w:rsidR="004C4E09" w:rsidRPr="006175CD">
          <w:rPr>
            <w:rStyle w:val="Hyperlink"/>
            <w:rFonts w:ascii="Verdana" w:hAnsi="Verdana" w:cs="Verdana"/>
            <w:sz w:val="24"/>
            <w:szCs w:val="24"/>
          </w:rPr>
          <w:t>http://www.in.gov/iurc/files/Final_Toolkit.pdf</w:t>
        </w:r>
      </w:hyperlink>
    </w:p>
    <w:p w:rsidR="004C4E09" w:rsidRPr="006175CD" w:rsidRDefault="004C4E09" w:rsidP="00B93E86">
      <w:pPr>
        <w:ind w:left="360" w:hanging="360"/>
        <w:rPr>
          <w:rFonts w:ascii="Verdana" w:hAnsi="Verdana" w:cs="Verdana"/>
          <w:sz w:val="24"/>
          <w:szCs w:val="24"/>
        </w:rPr>
      </w:pPr>
      <w:r w:rsidRPr="006175CD">
        <w:rPr>
          <w:rFonts w:ascii="Verdana" w:hAnsi="Verdana" w:cs="Verdana"/>
          <w:sz w:val="24"/>
          <w:szCs w:val="24"/>
        </w:rPr>
        <w:t>http://www.in.gov/iurc/files/Complete_Toolkit.pdf</w:t>
      </w:r>
    </w:p>
    <w:p w:rsidR="004C4E09" w:rsidRPr="006175CD" w:rsidRDefault="004C4E09" w:rsidP="00B93E86">
      <w:pPr>
        <w:ind w:left="360" w:hanging="360"/>
        <w:rPr>
          <w:rFonts w:ascii="Verdana" w:hAnsi="Verdana" w:cs="Verdana"/>
          <w:sz w:val="24"/>
          <w:szCs w:val="24"/>
        </w:rPr>
      </w:pPr>
      <w:r w:rsidRPr="006175CD">
        <w:rPr>
          <w:rFonts w:ascii="Verdana" w:hAnsi="Verdana" w:cs="Verdana"/>
          <w:sz w:val="24"/>
          <w:szCs w:val="24"/>
        </w:rPr>
        <w:t xml:space="preserve">Regulatory, Funding, Technical Assistance, </w:t>
      </w:r>
    </w:p>
    <w:p w:rsidR="004C4E09" w:rsidRPr="006175CD" w:rsidRDefault="004C4E09" w:rsidP="00A06497">
      <w:pPr>
        <w:rPr>
          <w:rFonts w:ascii="Verdana" w:hAnsi="Verdana" w:cs="Verdana"/>
          <w:sz w:val="24"/>
          <w:szCs w:val="24"/>
        </w:rPr>
      </w:pPr>
    </w:p>
    <w:p w:rsidR="004C4E09" w:rsidRPr="006175CD" w:rsidRDefault="004C4E09" w:rsidP="00A06497">
      <w:pPr>
        <w:pStyle w:val="Heading2"/>
        <w:rPr>
          <w:rFonts w:ascii="Verdana" w:hAnsi="Verdana" w:cs="Verdana"/>
          <w:sz w:val="24"/>
          <w:szCs w:val="24"/>
        </w:rPr>
      </w:pPr>
      <w:r>
        <w:rPr>
          <w:rFonts w:ascii="Verdana" w:hAnsi="Verdana" w:cs="Verdana"/>
          <w:b w:val="0"/>
          <w:bCs w:val="0"/>
          <w:i w:val="0"/>
          <w:iCs w:val="0"/>
          <w:sz w:val="24"/>
          <w:szCs w:val="24"/>
        </w:rPr>
        <w:t>8</w:t>
      </w:r>
      <w:r w:rsidRPr="006175CD">
        <w:rPr>
          <w:rFonts w:ascii="Verdana" w:hAnsi="Verdana" w:cs="Verdana"/>
          <w:b w:val="0"/>
          <w:bCs w:val="0"/>
          <w:i w:val="0"/>
          <w:iCs w:val="0"/>
          <w:sz w:val="24"/>
          <w:szCs w:val="24"/>
        </w:rPr>
        <w:t>.</w:t>
      </w:r>
      <w:r w:rsidRPr="006175CD">
        <w:rPr>
          <w:rFonts w:ascii="Verdana" w:hAnsi="Verdana" w:cs="Verdana"/>
          <w:sz w:val="24"/>
          <w:szCs w:val="24"/>
        </w:rPr>
        <w:t xml:space="preserve"> </w:t>
      </w:r>
      <w:r w:rsidRPr="006175CD">
        <w:rPr>
          <w:rFonts w:ascii="Verdana" w:hAnsi="Verdana" w:cs="Verdana"/>
          <w:b w:val="0"/>
          <w:bCs w:val="0"/>
          <w:i w:val="0"/>
          <w:iCs w:val="0"/>
          <w:sz w:val="24"/>
          <w:szCs w:val="24"/>
        </w:rPr>
        <w:t>Section C-3: State Revolving Fund (SRF) Loan Program</w:t>
      </w:r>
    </w:p>
    <w:p w:rsidR="004C4E09" w:rsidRPr="006175CD" w:rsidRDefault="00037ABF" w:rsidP="00A06497">
      <w:pPr>
        <w:rPr>
          <w:rFonts w:ascii="Verdana" w:hAnsi="Verdana" w:cs="Verdana"/>
          <w:sz w:val="24"/>
          <w:szCs w:val="24"/>
        </w:rPr>
      </w:pPr>
      <w:hyperlink r:id="rId13" w:history="1">
        <w:r w:rsidR="004C4E09" w:rsidRPr="006175CD">
          <w:rPr>
            <w:rStyle w:val="Hyperlink"/>
            <w:rFonts w:ascii="Verdana" w:hAnsi="Verdana" w:cs="Verdana"/>
            <w:sz w:val="24"/>
            <w:szCs w:val="24"/>
          </w:rPr>
          <w:t>http://www.in.gov/idem/6025.htm</w:t>
        </w:r>
      </w:hyperlink>
    </w:p>
    <w:p w:rsidR="004C4E09" w:rsidRPr="00DF6A9F" w:rsidRDefault="004C4E09" w:rsidP="006175CD">
      <w:r w:rsidRPr="006175CD">
        <w:rPr>
          <w:rFonts w:ascii="Verdana" w:hAnsi="Verdana" w:cs="Verdana"/>
          <w:sz w:val="24"/>
          <w:szCs w:val="24"/>
        </w:rPr>
        <w:t>The Indiana Revolving Fund (SRF) Loan Program provides low-interest loans to Indiana communities for projects that improve wastewater and drinking water infrastructures. The Indiana Finance Authority administers this program that protects both public health and the environment</w:t>
      </w:r>
      <w:r w:rsidRPr="00C13CA0">
        <w:t>.</w:t>
      </w:r>
    </w:p>
    <w:sectPr w:rsidR="004C4E09" w:rsidRPr="00DF6A9F" w:rsidSect="003502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fornian FB">
    <w:altName w:val="Californian FB"/>
    <w:panose1 w:val="0207040306080B03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5005"/>
    <w:multiLevelType w:val="hybridMultilevel"/>
    <w:tmpl w:val="062289F6"/>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4CB27C3"/>
    <w:multiLevelType w:val="hybridMultilevel"/>
    <w:tmpl w:val="6CFC7476"/>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89E0F26"/>
    <w:multiLevelType w:val="hybridMultilevel"/>
    <w:tmpl w:val="D94CD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D8E1918"/>
    <w:multiLevelType w:val="hybridMultilevel"/>
    <w:tmpl w:val="6108CF72"/>
    <w:lvl w:ilvl="0" w:tplc="F33E5250">
      <w:start w:val="1"/>
      <w:numFmt w:val="decimal"/>
      <w:lvlText w:val="%1."/>
      <w:lvlJc w:val="left"/>
      <w:pPr>
        <w:ind w:left="720" w:hanging="360"/>
      </w:pPr>
      <w:rPr>
        <w:rFonts w:ascii="Arial" w:eastAsia="Times New Roman" w:hAnsi="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7645A16"/>
    <w:multiLevelType w:val="hybridMultilevel"/>
    <w:tmpl w:val="01F437E6"/>
    <w:lvl w:ilvl="0" w:tplc="DEAC089A">
      <w:start w:val="1"/>
      <w:numFmt w:val="bullet"/>
      <w:lvlText w:val=""/>
      <w:lvlJc w:val="left"/>
      <w:pPr>
        <w:tabs>
          <w:tab w:val="num" w:pos="720"/>
        </w:tabs>
        <w:ind w:left="720" w:hanging="360"/>
      </w:pPr>
      <w:rPr>
        <w:rFonts w:ascii="Wingdings" w:hAnsi="Wingdings" w:cs="Wingdings" w:hint="default"/>
      </w:rPr>
    </w:lvl>
    <w:lvl w:ilvl="1" w:tplc="550C2406">
      <w:start w:val="1"/>
      <w:numFmt w:val="bullet"/>
      <w:lvlText w:val=""/>
      <w:lvlJc w:val="left"/>
      <w:pPr>
        <w:tabs>
          <w:tab w:val="num" w:pos="1440"/>
        </w:tabs>
        <w:ind w:left="1440" w:hanging="360"/>
      </w:pPr>
      <w:rPr>
        <w:rFonts w:ascii="Wingdings" w:hAnsi="Wingdings" w:cs="Wingdings" w:hint="default"/>
      </w:rPr>
    </w:lvl>
    <w:lvl w:ilvl="2" w:tplc="52EA3DDE">
      <w:start w:val="1"/>
      <w:numFmt w:val="bullet"/>
      <w:lvlText w:val=""/>
      <w:lvlJc w:val="left"/>
      <w:pPr>
        <w:tabs>
          <w:tab w:val="num" w:pos="2160"/>
        </w:tabs>
        <w:ind w:left="2160" w:hanging="360"/>
      </w:pPr>
      <w:rPr>
        <w:rFonts w:ascii="Wingdings" w:hAnsi="Wingdings" w:cs="Wingdings" w:hint="default"/>
      </w:rPr>
    </w:lvl>
    <w:lvl w:ilvl="3" w:tplc="DEB8C9C8">
      <w:start w:val="1"/>
      <w:numFmt w:val="bullet"/>
      <w:lvlText w:val=""/>
      <w:lvlJc w:val="left"/>
      <w:pPr>
        <w:tabs>
          <w:tab w:val="num" w:pos="2880"/>
        </w:tabs>
        <w:ind w:left="2880" w:hanging="360"/>
      </w:pPr>
      <w:rPr>
        <w:rFonts w:ascii="Wingdings" w:hAnsi="Wingdings" w:cs="Wingdings" w:hint="default"/>
      </w:rPr>
    </w:lvl>
    <w:lvl w:ilvl="4" w:tplc="80FEF49E">
      <w:start w:val="1"/>
      <w:numFmt w:val="bullet"/>
      <w:lvlText w:val=""/>
      <w:lvlJc w:val="left"/>
      <w:pPr>
        <w:tabs>
          <w:tab w:val="num" w:pos="3600"/>
        </w:tabs>
        <w:ind w:left="3600" w:hanging="360"/>
      </w:pPr>
      <w:rPr>
        <w:rFonts w:ascii="Wingdings" w:hAnsi="Wingdings" w:cs="Wingdings" w:hint="default"/>
      </w:rPr>
    </w:lvl>
    <w:lvl w:ilvl="5" w:tplc="F1947226">
      <w:start w:val="1"/>
      <w:numFmt w:val="bullet"/>
      <w:lvlText w:val=""/>
      <w:lvlJc w:val="left"/>
      <w:pPr>
        <w:tabs>
          <w:tab w:val="num" w:pos="4320"/>
        </w:tabs>
        <w:ind w:left="4320" w:hanging="360"/>
      </w:pPr>
      <w:rPr>
        <w:rFonts w:ascii="Wingdings" w:hAnsi="Wingdings" w:cs="Wingdings" w:hint="default"/>
      </w:rPr>
    </w:lvl>
    <w:lvl w:ilvl="6" w:tplc="96364318">
      <w:start w:val="1"/>
      <w:numFmt w:val="bullet"/>
      <w:lvlText w:val=""/>
      <w:lvlJc w:val="left"/>
      <w:pPr>
        <w:tabs>
          <w:tab w:val="num" w:pos="5040"/>
        </w:tabs>
        <w:ind w:left="5040" w:hanging="360"/>
      </w:pPr>
      <w:rPr>
        <w:rFonts w:ascii="Wingdings" w:hAnsi="Wingdings" w:cs="Wingdings" w:hint="default"/>
      </w:rPr>
    </w:lvl>
    <w:lvl w:ilvl="7" w:tplc="3CDE5AC4">
      <w:start w:val="1"/>
      <w:numFmt w:val="bullet"/>
      <w:lvlText w:val=""/>
      <w:lvlJc w:val="left"/>
      <w:pPr>
        <w:tabs>
          <w:tab w:val="num" w:pos="5760"/>
        </w:tabs>
        <w:ind w:left="5760" w:hanging="360"/>
      </w:pPr>
      <w:rPr>
        <w:rFonts w:ascii="Wingdings" w:hAnsi="Wingdings" w:cs="Wingdings" w:hint="default"/>
      </w:rPr>
    </w:lvl>
    <w:lvl w:ilvl="8" w:tplc="92345BC4">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oNotHyphenateCaps/>
  <w:characterSpacingControl w:val="doNotCompress"/>
  <w:doNotValidateAgainstSchema/>
  <w:doNotDemarcateInvalidXml/>
  <w:compat/>
  <w:rsids>
    <w:rsidRoot w:val="00DF6A9F"/>
    <w:rsid w:val="00037ABF"/>
    <w:rsid w:val="000441D4"/>
    <w:rsid w:val="000E4750"/>
    <w:rsid w:val="00202B26"/>
    <w:rsid w:val="002820EC"/>
    <w:rsid w:val="002D0A9E"/>
    <w:rsid w:val="003502A4"/>
    <w:rsid w:val="004C4E09"/>
    <w:rsid w:val="004D60A4"/>
    <w:rsid w:val="00506E98"/>
    <w:rsid w:val="005C4043"/>
    <w:rsid w:val="006175CD"/>
    <w:rsid w:val="00735F50"/>
    <w:rsid w:val="00796199"/>
    <w:rsid w:val="007E5FEF"/>
    <w:rsid w:val="008676CB"/>
    <w:rsid w:val="00882766"/>
    <w:rsid w:val="00A06497"/>
    <w:rsid w:val="00A3085B"/>
    <w:rsid w:val="00AC033B"/>
    <w:rsid w:val="00AE77CA"/>
    <w:rsid w:val="00B13151"/>
    <w:rsid w:val="00B22D84"/>
    <w:rsid w:val="00B34A47"/>
    <w:rsid w:val="00B93E86"/>
    <w:rsid w:val="00C13CA0"/>
    <w:rsid w:val="00CF49AC"/>
    <w:rsid w:val="00D46600"/>
    <w:rsid w:val="00D46AFA"/>
    <w:rsid w:val="00D6736A"/>
    <w:rsid w:val="00DF6A9F"/>
    <w:rsid w:val="00E12B3B"/>
    <w:rsid w:val="00E76881"/>
    <w:rsid w:val="00EB6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A4"/>
    <w:pPr>
      <w:spacing w:after="200" w:line="276" w:lineRule="auto"/>
    </w:pPr>
    <w:rPr>
      <w:rFonts w:cs="Calibri"/>
    </w:rPr>
  </w:style>
  <w:style w:type="paragraph" w:styleId="Heading2">
    <w:name w:val="heading 2"/>
    <w:basedOn w:val="Normal"/>
    <w:next w:val="Normal"/>
    <w:link w:val="Heading2Char"/>
    <w:uiPriority w:val="99"/>
    <w:qFormat/>
    <w:locked/>
    <w:rsid w:val="00A06497"/>
    <w:pPr>
      <w:keepNext/>
      <w:spacing w:before="240" w:after="60" w:line="240" w:lineRule="auto"/>
      <w:outlineLvl w:val="1"/>
    </w:pPr>
    <w:rPr>
      <w:rFonts w:ascii="Arial" w:hAnsi="Arial" w:cs="Arial"/>
      <w:b/>
      <w:bCs/>
      <w:i/>
      <w:iCs/>
      <w:sz w:val="28"/>
      <w:szCs w:val="28"/>
    </w:rPr>
  </w:style>
  <w:style w:type="paragraph" w:styleId="Heading3">
    <w:name w:val="heading 3"/>
    <w:basedOn w:val="Normal"/>
    <w:link w:val="Heading3Char"/>
    <w:uiPriority w:val="99"/>
    <w:qFormat/>
    <w:locked/>
    <w:rsid w:val="00A06497"/>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46AF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46AFA"/>
    <w:rPr>
      <w:rFonts w:ascii="Cambria" w:hAnsi="Cambria" w:cs="Cambria"/>
      <w:b/>
      <w:bCs/>
      <w:sz w:val="26"/>
      <w:szCs w:val="26"/>
    </w:rPr>
  </w:style>
  <w:style w:type="paragraph" w:styleId="ListParagraph">
    <w:name w:val="List Paragraph"/>
    <w:basedOn w:val="Normal"/>
    <w:uiPriority w:val="99"/>
    <w:qFormat/>
    <w:rsid w:val="00DF6A9F"/>
    <w:pPr>
      <w:ind w:left="720"/>
    </w:pPr>
  </w:style>
  <w:style w:type="paragraph" w:styleId="Title">
    <w:name w:val="Title"/>
    <w:basedOn w:val="Normal"/>
    <w:link w:val="TitleChar"/>
    <w:uiPriority w:val="99"/>
    <w:qFormat/>
    <w:rsid w:val="00DF6A9F"/>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uiPriority w:val="99"/>
    <w:locked/>
    <w:rsid w:val="00DF6A9F"/>
    <w:rPr>
      <w:rFonts w:ascii="Arial" w:hAnsi="Arial" w:cs="Arial"/>
      <w:b/>
      <w:bCs/>
      <w:sz w:val="20"/>
      <w:szCs w:val="20"/>
      <w:u w:val="single"/>
    </w:rPr>
  </w:style>
  <w:style w:type="character" w:styleId="Hyperlink">
    <w:name w:val="Hyperlink"/>
    <w:basedOn w:val="DefaultParagraphFont"/>
    <w:uiPriority w:val="99"/>
    <w:rsid w:val="00AC033B"/>
    <w:rPr>
      <w:color w:val="0000FF"/>
      <w:u w:val="single"/>
    </w:rPr>
  </w:style>
  <w:style w:type="character" w:styleId="FollowedHyperlink">
    <w:name w:val="FollowedHyperlink"/>
    <w:basedOn w:val="DefaultParagraphFont"/>
    <w:uiPriority w:val="99"/>
    <w:semiHidden/>
    <w:rsid w:val="00AC033B"/>
    <w:rPr>
      <w:color w:val="800080"/>
      <w:u w:val="single"/>
    </w:rPr>
  </w:style>
  <w:style w:type="character" w:customStyle="1" w:styleId="dkgreensmallern">
    <w:name w:val="dkgreen smallern"/>
    <w:basedOn w:val="DefaultParagraphFont"/>
    <w:uiPriority w:val="99"/>
    <w:rsid w:val="00AE77CA"/>
  </w:style>
  <w:style w:type="paragraph" w:customStyle="1" w:styleId="Pa0">
    <w:name w:val="Pa0"/>
    <w:basedOn w:val="Normal"/>
    <w:next w:val="Normal"/>
    <w:uiPriority w:val="99"/>
    <w:rsid w:val="00CF49AC"/>
    <w:pPr>
      <w:autoSpaceDE w:val="0"/>
      <w:autoSpaceDN w:val="0"/>
      <w:adjustRightInd w:val="0"/>
      <w:spacing w:after="0" w:line="241" w:lineRule="atLeast"/>
    </w:pPr>
    <w:rPr>
      <w:rFonts w:ascii="Californian FB" w:hAnsi="Californian FB" w:cs="Californian FB"/>
      <w:sz w:val="24"/>
      <w:szCs w:val="24"/>
    </w:rPr>
  </w:style>
  <w:style w:type="character" w:customStyle="1" w:styleId="A10">
    <w:name w:val="A10"/>
    <w:uiPriority w:val="99"/>
    <w:rsid w:val="00CF49AC"/>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806198134">
      <w:marLeft w:val="0"/>
      <w:marRight w:val="0"/>
      <w:marTop w:val="0"/>
      <w:marBottom w:val="0"/>
      <w:divBdr>
        <w:top w:val="none" w:sz="0" w:space="0" w:color="auto"/>
        <w:left w:val="none" w:sz="0" w:space="0" w:color="auto"/>
        <w:bottom w:val="none" w:sz="0" w:space="0" w:color="auto"/>
        <w:right w:val="none" w:sz="0" w:space="0" w:color="auto"/>
      </w:divBdr>
      <w:divsChild>
        <w:div w:id="1806198145">
          <w:marLeft w:val="0"/>
          <w:marRight w:val="0"/>
          <w:marTop w:val="0"/>
          <w:marBottom w:val="0"/>
          <w:divBdr>
            <w:top w:val="none" w:sz="0" w:space="0" w:color="auto"/>
            <w:left w:val="none" w:sz="0" w:space="0" w:color="auto"/>
            <w:bottom w:val="none" w:sz="0" w:space="0" w:color="auto"/>
            <w:right w:val="none" w:sz="0" w:space="0" w:color="auto"/>
          </w:divBdr>
          <w:divsChild>
            <w:div w:id="18061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8136">
      <w:marLeft w:val="0"/>
      <w:marRight w:val="0"/>
      <w:marTop w:val="0"/>
      <w:marBottom w:val="0"/>
      <w:divBdr>
        <w:top w:val="none" w:sz="0" w:space="0" w:color="auto"/>
        <w:left w:val="none" w:sz="0" w:space="0" w:color="auto"/>
        <w:bottom w:val="none" w:sz="0" w:space="0" w:color="auto"/>
        <w:right w:val="none" w:sz="0" w:space="0" w:color="auto"/>
      </w:divBdr>
      <w:divsChild>
        <w:div w:id="1806198146">
          <w:marLeft w:val="0"/>
          <w:marRight w:val="0"/>
          <w:marTop w:val="0"/>
          <w:marBottom w:val="0"/>
          <w:divBdr>
            <w:top w:val="none" w:sz="0" w:space="0" w:color="auto"/>
            <w:left w:val="none" w:sz="0" w:space="0" w:color="auto"/>
            <w:bottom w:val="none" w:sz="0" w:space="0" w:color="auto"/>
            <w:right w:val="none" w:sz="0" w:space="0" w:color="auto"/>
          </w:divBdr>
          <w:divsChild>
            <w:div w:id="1806198135">
              <w:marLeft w:val="0"/>
              <w:marRight w:val="0"/>
              <w:marTop w:val="0"/>
              <w:marBottom w:val="0"/>
              <w:divBdr>
                <w:top w:val="none" w:sz="0" w:space="0" w:color="auto"/>
                <w:left w:val="none" w:sz="0" w:space="0" w:color="auto"/>
                <w:bottom w:val="none" w:sz="0" w:space="0" w:color="auto"/>
                <w:right w:val="none" w:sz="0" w:space="0" w:color="auto"/>
              </w:divBdr>
            </w:div>
            <w:div w:id="1806198137">
              <w:marLeft w:val="0"/>
              <w:marRight w:val="0"/>
              <w:marTop w:val="0"/>
              <w:marBottom w:val="0"/>
              <w:divBdr>
                <w:top w:val="none" w:sz="0" w:space="0" w:color="auto"/>
                <w:left w:val="none" w:sz="0" w:space="0" w:color="auto"/>
                <w:bottom w:val="none" w:sz="0" w:space="0" w:color="auto"/>
                <w:right w:val="none" w:sz="0" w:space="0" w:color="auto"/>
              </w:divBdr>
            </w:div>
            <w:div w:id="1806198139">
              <w:marLeft w:val="0"/>
              <w:marRight w:val="0"/>
              <w:marTop w:val="0"/>
              <w:marBottom w:val="0"/>
              <w:divBdr>
                <w:top w:val="none" w:sz="0" w:space="0" w:color="auto"/>
                <w:left w:val="none" w:sz="0" w:space="0" w:color="auto"/>
                <w:bottom w:val="none" w:sz="0" w:space="0" w:color="auto"/>
                <w:right w:val="none" w:sz="0" w:space="0" w:color="auto"/>
              </w:divBdr>
            </w:div>
            <w:div w:id="1806198141">
              <w:marLeft w:val="0"/>
              <w:marRight w:val="0"/>
              <w:marTop w:val="0"/>
              <w:marBottom w:val="0"/>
              <w:divBdr>
                <w:top w:val="none" w:sz="0" w:space="0" w:color="auto"/>
                <w:left w:val="none" w:sz="0" w:space="0" w:color="auto"/>
                <w:bottom w:val="none" w:sz="0" w:space="0" w:color="auto"/>
                <w:right w:val="none" w:sz="0" w:space="0" w:color="auto"/>
              </w:divBdr>
            </w:div>
            <w:div w:id="1806198143">
              <w:marLeft w:val="0"/>
              <w:marRight w:val="0"/>
              <w:marTop w:val="0"/>
              <w:marBottom w:val="0"/>
              <w:divBdr>
                <w:top w:val="none" w:sz="0" w:space="0" w:color="auto"/>
                <w:left w:val="none" w:sz="0" w:space="0" w:color="auto"/>
                <w:bottom w:val="none" w:sz="0" w:space="0" w:color="auto"/>
                <w:right w:val="none" w:sz="0" w:space="0" w:color="auto"/>
              </w:divBdr>
            </w:div>
            <w:div w:id="1806198144">
              <w:marLeft w:val="0"/>
              <w:marRight w:val="0"/>
              <w:marTop w:val="0"/>
              <w:marBottom w:val="0"/>
              <w:divBdr>
                <w:top w:val="none" w:sz="0" w:space="0" w:color="auto"/>
                <w:left w:val="none" w:sz="0" w:space="0" w:color="auto"/>
                <w:bottom w:val="none" w:sz="0" w:space="0" w:color="auto"/>
                <w:right w:val="none" w:sz="0" w:space="0" w:color="auto"/>
              </w:divBdr>
            </w:div>
            <w:div w:id="18061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8148">
      <w:marLeft w:val="0"/>
      <w:marRight w:val="0"/>
      <w:marTop w:val="0"/>
      <w:marBottom w:val="0"/>
      <w:divBdr>
        <w:top w:val="none" w:sz="0" w:space="0" w:color="auto"/>
        <w:left w:val="none" w:sz="0" w:space="0" w:color="auto"/>
        <w:bottom w:val="none" w:sz="0" w:space="0" w:color="auto"/>
        <w:right w:val="none" w:sz="0" w:space="0" w:color="auto"/>
      </w:divBdr>
      <w:divsChild>
        <w:div w:id="1806198142">
          <w:marLeft w:val="0"/>
          <w:marRight w:val="0"/>
          <w:marTop w:val="0"/>
          <w:marBottom w:val="0"/>
          <w:divBdr>
            <w:top w:val="none" w:sz="0" w:space="0" w:color="auto"/>
            <w:left w:val="none" w:sz="0" w:space="0" w:color="auto"/>
            <w:bottom w:val="none" w:sz="0" w:space="0" w:color="auto"/>
            <w:right w:val="none" w:sz="0" w:space="0" w:color="auto"/>
          </w:divBdr>
          <w:divsChild>
            <w:div w:id="18061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amicountyhealth.net/EH/documents/OPProgram/Pubs/Ignorance_SFQ_s05.pdf" TargetMode="External"/><Relationship Id="rId13" Type="http://schemas.openxmlformats.org/officeDocument/2006/relationships/hyperlink" Target="http://www.in.gov/idem/6025.htm" TargetMode="External"/><Relationship Id="rId3" Type="http://schemas.openxmlformats.org/officeDocument/2006/relationships/settings" Target="settings.xml"/><Relationship Id="rId7" Type="http://schemas.openxmlformats.org/officeDocument/2006/relationships/hyperlink" Target="http://www.iaswcd.org/" TargetMode="External"/><Relationship Id="rId12" Type="http://schemas.openxmlformats.org/officeDocument/2006/relationships/hyperlink" Target="http://www.in.gov/iurc/files/Final_Toolki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tizenswater.com/Wastewater/STEP.aspx" TargetMode="External"/><Relationship Id="rId11" Type="http://schemas.openxmlformats.org/officeDocument/2006/relationships/hyperlink" Target="https://engineering.purdue.edu/~frankenb/NU-prowd/community.htm" TargetMode="External"/><Relationship Id="rId5" Type="http://schemas.openxmlformats.org/officeDocument/2006/relationships/hyperlink" Target="http://irsda.org/" TargetMode="External"/><Relationship Id="rId15" Type="http://schemas.openxmlformats.org/officeDocument/2006/relationships/theme" Target="theme/theme1.xml"/><Relationship Id="rId10" Type="http://schemas.openxmlformats.org/officeDocument/2006/relationships/hyperlink" Target="https://www.google.com/url?sa=t&amp;rct=j&amp;q=&amp;esrc=s&amp;source=web&amp;cd=18&amp;ved=0CFoQFjAHOAo&amp;url=https%3A%2F%2Fengineering.purdue.edu%2F%7Efrankenb%2FNU-prowd%2Fcommunity.htm&amp;ei=NJazT_POKoKc8QSKnLGHCQ&amp;usg=AFQjCNGu2mg_0b5ujmeHDgThuTjuyvtuFw&amp;sig2=s9IbDMw3SrKGZk5KJP171g&amp;cad=rja" TargetMode="External"/><Relationship Id="rId4" Type="http://schemas.openxmlformats.org/officeDocument/2006/relationships/webSettings" Target="webSettings.xml"/><Relationship Id="rId9" Type="http://schemas.openxmlformats.org/officeDocument/2006/relationships/hyperlink" Target="http://www.extension.purdue.edu/extmedia/ID/ID-26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Indiana Watershed Leadership Academy Final Project</vt:lpstr>
    </vt:vector>
  </TitlesOfParts>
  <Company>Microsoft</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Watershed Leadership Academy Final Project</dc:title>
  <dc:subject/>
  <dc:creator>mnovac</dc:creator>
  <cp:keywords/>
  <dc:description/>
  <cp:lastModifiedBy>lesman</cp:lastModifiedBy>
  <cp:revision>2</cp:revision>
  <dcterms:created xsi:type="dcterms:W3CDTF">2012-05-22T18:51:00Z</dcterms:created>
  <dcterms:modified xsi:type="dcterms:W3CDTF">2012-05-22T18:51:00Z</dcterms:modified>
</cp:coreProperties>
</file>